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8E" w:rsidRDefault="006C2BC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s-ES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20955</wp:posOffset>
            </wp:positionV>
            <wp:extent cx="2037715" cy="647700"/>
            <wp:effectExtent l="0" t="0" r="0" b="0"/>
            <wp:wrapNone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0"/>
          <w:szCs w:val="20"/>
          <w:lang w:eastAsia="es-ES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107950</wp:posOffset>
            </wp:positionV>
            <wp:extent cx="1855470" cy="314960"/>
            <wp:effectExtent l="0" t="0" r="0" b="0"/>
            <wp:wrapNone/>
            <wp:docPr id="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8E" w:rsidRDefault="00AA098E">
      <w:pPr>
        <w:spacing w:line="240" w:lineRule="auto"/>
        <w:contextualSpacing/>
        <w:jc w:val="right"/>
        <w:rPr>
          <w:rFonts w:cstheme="minorHAnsi"/>
          <w:sz w:val="20"/>
          <w:szCs w:val="20"/>
        </w:rPr>
      </w:pPr>
    </w:p>
    <w:p w:rsidR="00AA098E" w:rsidRDefault="00AA098E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</w:p>
    <w:p w:rsidR="00AA098E" w:rsidRDefault="00AA098E">
      <w:pPr>
        <w:spacing w:line="240" w:lineRule="auto"/>
        <w:contextualSpacing/>
        <w:jc w:val="right"/>
        <w:rPr>
          <w:rFonts w:cstheme="minorHAnsi"/>
          <w:sz w:val="20"/>
          <w:szCs w:val="20"/>
        </w:rPr>
      </w:pPr>
    </w:p>
    <w:p w:rsidR="00AA098E" w:rsidRDefault="00AA098E">
      <w:pPr>
        <w:spacing w:line="240" w:lineRule="auto"/>
        <w:contextualSpacing/>
        <w:jc w:val="right"/>
        <w:rPr>
          <w:rFonts w:cstheme="minorHAnsi"/>
          <w:sz w:val="20"/>
          <w:szCs w:val="20"/>
        </w:rPr>
      </w:pPr>
    </w:p>
    <w:p w:rsidR="00AA098E" w:rsidRDefault="00AA098E">
      <w:pPr>
        <w:spacing w:line="240" w:lineRule="auto"/>
        <w:contextualSpacing/>
        <w:jc w:val="right"/>
        <w:rPr>
          <w:rFonts w:cstheme="minorHAnsi"/>
          <w:sz w:val="20"/>
          <w:szCs w:val="20"/>
        </w:rPr>
      </w:pPr>
    </w:p>
    <w:p w:rsidR="00AA098E" w:rsidRDefault="006C2BCF">
      <w:pPr>
        <w:spacing w:line="240" w:lineRule="auto"/>
        <w:contextualSpacing/>
        <w:jc w:val="both"/>
      </w:pPr>
      <w:r>
        <w:rPr>
          <w:rFonts w:cstheme="minorHAnsi"/>
          <w:b/>
          <w:sz w:val="24"/>
          <w:szCs w:val="24"/>
        </w:rPr>
        <w:t xml:space="preserve">ASUNTO: Evaluación Planes Operativos Anuales I Semestre 2019 </w:t>
      </w:r>
    </w:p>
    <w:p w:rsidR="00AA098E" w:rsidRDefault="00AA098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AA098E" w:rsidRDefault="006C2BCF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SEÑORES.</w:t>
      </w:r>
    </w:p>
    <w:p w:rsidR="00AA098E" w:rsidRDefault="006C2BCF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ORGANISMOS DEPORTIVOS</w:t>
      </w:r>
    </w:p>
    <w:p w:rsidR="00AA098E" w:rsidRDefault="006C2BCF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 su despacho</w:t>
      </w:r>
    </w:p>
    <w:p w:rsidR="00AA098E" w:rsidRDefault="00AA098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AA098E" w:rsidRDefault="006C2BCF">
      <w:pPr>
        <w:spacing w:line="240" w:lineRule="auto"/>
        <w:contextualSpacing/>
        <w:jc w:val="both"/>
      </w:pPr>
      <w:r>
        <w:rPr>
          <w:rFonts w:cstheme="minorHAnsi"/>
          <w:sz w:val="20"/>
          <w:szCs w:val="20"/>
        </w:rPr>
        <w:t>De mi consideración:</w:t>
      </w:r>
    </w:p>
    <w:p w:rsidR="00AA098E" w:rsidRDefault="00AA098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AA098E" w:rsidRDefault="006C2BCF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 un cordial saludo, me permito indicar que de acuerdo a la Ley del Deporte, Educación Física y Recreación se </w:t>
      </w:r>
      <w:r>
        <w:rPr>
          <w:rFonts w:cstheme="minorHAnsi"/>
          <w:sz w:val="20"/>
          <w:szCs w:val="20"/>
        </w:rPr>
        <w:t>establece lo siguiente:</w:t>
      </w:r>
    </w:p>
    <w:p w:rsidR="00AA098E" w:rsidRDefault="006C2BCF">
      <w:pPr>
        <w:pStyle w:val="Cuerpodeltexto0"/>
        <w:numPr>
          <w:ilvl w:val="0"/>
          <w:numId w:val="1"/>
        </w:numPr>
        <w:shd w:val="clear" w:color="auto" w:fill="auto"/>
        <w:spacing w:before="0" w:after="0" w:line="230" w:lineRule="exact"/>
        <w:ind w:left="380" w:right="20" w:firstLine="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El Artículo 14 establece que: "Las funciones y atribuciones del ministerio son: (...) c) Supervisar y evaluar a las organizaciones deportivas en el cumplimiento de esta Ley y en el correcto uso y destino de los recursos públicos que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 xml:space="preserve"> reciban del Estado, debiendo notificar a la Contraloría General del Estado en el ámbito de sus competencias; (...); f) Elaborar el presupuesto anual de los recursos públicos que provengan del Presupuesto General del Estado; para el deporte, educación físi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ca, recreación y distribuirlos. Así como definir la utilización de los recursos públicos entregados a las organizaciones deportivas, a través de los planes operativos anuales presentados por las mismas y aprobados por el Ministerio Sectorial de conformidad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 xml:space="preserve"> con la política del deporte, educación física y recreación; g) Aprobar los proyectos o programas de las organizaciones deportivas contempladas en esta Ley que se financien con recursos públicos no contemplados en el plan operativo anual; (...) n) Interven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ir de manera transitoria en las organizaciones que reciban recursos públicos mediante delegación del Ministerio Sectorial, en los casos que determina la Ley, respetando las normas internacionales".</w:t>
      </w:r>
    </w:p>
    <w:p w:rsidR="00AA098E" w:rsidRDefault="006C2BCF">
      <w:pPr>
        <w:pStyle w:val="Cuerpodeltexto0"/>
        <w:numPr>
          <w:ilvl w:val="0"/>
          <w:numId w:val="1"/>
        </w:numPr>
        <w:shd w:val="clear" w:color="auto" w:fill="auto"/>
        <w:tabs>
          <w:tab w:val="left" w:pos="322"/>
          <w:tab w:val="right" w:pos="426"/>
        </w:tabs>
        <w:spacing w:before="0" w:after="0" w:line="230" w:lineRule="exact"/>
        <w:ind w:left="3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El Artículo 19 determina: "Las organizaciones deportivas q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 xml:space="preserve">ue reciban recursos públicos, tendrán la obligación de presentar toda 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ab/>
        <w:t>la información pertinente a su gestión financiera, técnica y administrativa al Ministerio Sectorial en el plazo que el reglamento determine”.</w:t>
      </w:r>
    </w:p>
    <w:p w:rsidR="00AA098E" w:rsidRDefault="006C2BCF">
      <w:pPr>
        <w:pStyle w:val="Cuerpodeltexto0"/>
        <w:numPr>
          <w:ilvl w:val="0"/>
          <w:numId w:val="1"/>
        </w:numPr>
        <w:shd w:val="clear" w:color="auto" w:fill="auto"/>
        <w:tabs>
          <w:tab w:val="right" w:pos="0"/>
        </w:tabs>
        <w:spacing w:before="0" w:after="0" w:line="230" w:lineRule="exact"/>
        <w:ind w:left="380" w:right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 xml:space="preserve">El Artículo 23 establece que: "Las 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organizaciones deportivas reguladas en esta Ley, podrán implementar mecanismos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ab/>
        <w:t>para la obtención de recursos propios los mismos que deberán ser obligatoriamente reinvertidos en el deporte, educación física y/o recreación, así como también, en la construcci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ón y mantenimiento de infraestructura. Los recursos de autogestión generados por las organizaciones deportivas serán sujetos de auditoría privada anual y sus informes deberán ser remitidos durante el primer trimestre de cada año, los mismos que serán sujet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os de verificación por parte del Ministerio Sectorial.”</w:t>
      </w:r>
    </w:p>
    <w:p w:rsidR="00AA098E" w:rsidRDefault="006C2BCF">
      <w:pPr>
        <w:pStyle w:val="Cuerpodeltexto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30" w:lineRule="exact"/>
        <w:ind w:left="3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 xml:space="preserve">El artículo 134 determina: "El Ministerio Sectorial realizará las transferencias a las organizaciones deportivas de forma mensual y de conformidad a la planificación anual previamente aprobada por el 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mismo, la política sectorial y el Plan Nacional de Desarrollo...";</w:t>
      </w:r>
    </w:p>
    <w:p w:rsidR="00AA098E" w:rsidRDefault="006C2BCF">
      <w:pPr>
        <w:pStyle w:val="Cuerpodeltexto0"/>
        <w:numPr>
          <w:ilvl w:val="0"/>
          <w:numId w:val="1"/>
        </w:numPr>
        <w:shd w:val="clear" w:color="auto" w:fill="auto"/>
        <w:tabs>
          <w:tab w:val="left" w:pos="322"/>
          <w:tab w:val="right" w:pos="426"/>
        </w:tabs>
        <w:spacing w:before="0" w:after="0" w:line="230" w:lineRule="exact"/>
        <w:ind w:left="380" w:right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El artículo 138 manifiesta: "Las organizaciones deportivas deberán presentar una evaluación semestral de su planificación anual de acuerdo a la metodología establecida por el Ministerio Sec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torial y con los documentos y materiales que prueben la ejecución de los proyectos, en el plazo indicado por el mismo".</w:t>
      </w:r>
    </w:p>
    <w:p w:rsidR="00AA098E" w:rsidRDefault="006C2BCF">
      <w:pPr>
        <w:pStyle w:val="Cuerpodeltexto0"/>
        <w:numPr>
          <w:ilvl w:val="0"/>
          <w:numId w:val="1"/>
        </w:numPr>
        <w:shd w:val="clear" w:color="auto" w:fill="auto"/>
        <w:tabs>
          <w:tab w:val="left" w:pos="322"/>
          <w:tab w:val="right" w:pos="426"/>
        </w:tabs>
        <w:spacing w:before="0" w:after="455" w:line="230" w:lineRule="exact"/>
        <w:ind w:left="380" w:right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El artículo 166 establece que: “El incumplimiento de las disposiciones consagradas en la presente Ley por parte de los dirigentes, autor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 xml:space="preserve">idades, técnicos en general, así como las y los deportistas, dará lugar a que el Ministerio Sectorial, respetando el debido proceso, imponga las siguientes sanciones: a) Amonestación; b) Sanción económica; c) Suspensión temporal; d) Suspensión definitiva; 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y, e) Limitación, reducción o cancelación de los estímulos concedidos. En los procesos administrativos instaurados en contra de los dirigentes, autoridades, técnicos, así como las y los deportistas se garantizan la efectiva vigencia de los derechos y norma</w:t>
      </w: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s constitucionales, legales y procesales referentes al debido proceso y al derecho a la defensa.”</w:t>
      </w:r>
    </w:p>
    <w:p w:rsidR="00AA098E" w:rsidRDefault="00AA098E">
      <w:pPr>
        <w:pStyle w:val="Cuerpodeltexto0"/>
        <w:shd w:val="clear" w:color="auto" w:fill="auto"/>
        <w:tabs>
          <w:tab w:val="left" w:pos="322"/>
          <w:tab w:val="right" w:pos="426"/>
        </w:tabs>
        <w:spacing w:before="0" w:after="455" w:line="230" w:lineRule="exact"/>
        <w:ind w:right="20" w:firstLine="0"/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</w:pPr>
    </w:p>
    <w:p w:rsidR="00AA098E" w:rsidRDefault="00AA098E">
      <w:pPr>
        <w:pStyle w:val="Cuerpodeltexto0"/>
        <w:shd w:val="clear" w:color="auto" w:fill="auto"/>
        <w:tabs>
          <w:tab w:val="left" w:pos="322"/>
          <w:tab w:val="right" w:pos="426"/>
        </w:tabs>
        <w:spacing w:before="0" w:after="455" w:line="230" w:lineRule="exact"/>
        <w:ind w:right="20" w:firstLine="0"/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</w:pPr>
    </w:p>
    <w:p w:rsidR="00AA098E" w:rsidRDefault="006C2BCF">
      <w:pPr>
        <w:widowControl w:val="0"/>
        <w:spacing w:after="0" w:line="240" w:lineRule="auto"/>
        <w:ind w:right="144"/>
        <w:jc w:val="center"/>
        <w:rPr>
          <w:rFonts w:cstheme="minorHAnsi"/>
          <w:color w:val="000000"/>
          <w:sz w:val="20"/>
          <w:szCs w:val="20"/>
          <w:lang w:eastAsia="es-ES" w:bidi="es-ES"/>
        </w:rPr>
      </w:pPr>
      <w:r>
        <w:rPr>
          <w:rFonts w:cstheme="minorHAnsi"/>
          <w:noProof/>
          <w:color w:val="000000"/>
          <w:sz w:val="20"/>
          <w:szCs w:val="20"/>
          <w:lang w:eastAsia="es-ES"/>
        </w:rPr>
        <w:lastRenderedPageBreak/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66675</wp:posOffset>
            </wp:positionV>
            <wp:extent cx="1855470" cy="314960"/>
            <wp:effectExtent l="0" t="0" r="0" b="0"/>
            <wp:wrapNone/>
            <wp:docPr id="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/>
          <w:sz w:val="20"/>
          <w:szCs w:val="20"/>
          <w:lang w:eastAsia="es-ES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-146685</wp:posOffset>
            </wp:positionV>
            <wp:extent cx="2037715" cy="647700"/>
            <wp:effectExtent l="0" t="0" r="0" b="0"/>
            <wp:wrapNone/>
            <wp:docPr id="4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8E" w:rsidRDefault="006C2BCF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  <w:r>
        <w:rPr>
          <w:rFonts w:cstheme="minorHAnsi"/>
          <w:color w:val="000000"/>
          <w:sz w:val="20"/>
          <w:szCs w:val="20"/>
          <w:lang w:eastAsia="es-ES" w:bidi="es-ES"/>
        </w:rPr>
        <w:t xml:space="preserve">                                                                                                                    </w:t>
      </w:r>
    </w:p>
    <w:p w:rsidR="00AA098E" w:rsidRDefault="00AA098E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</w:p>
    <w:p w:rsidR="00AA098E" w:rsidRDefault="00AA098E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</w:p>
    <w:p w:rsidR="00AA098E" w:rsidRDefault="00AA098E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</w:p>
    <w:p w:rsidR="00AA098E" w:rsidRDefault="00AA098E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</w:p>
    <w:p w:rsidR="00AA098E" w:rsidRDefault="006C2BCF">
      <w:pPr>
        <w:widowControl w:val="0"/>
        <w:spacing w:after="0" w:line="240" w:lineRule="auto"/>
        <w:ind w:right="144"/>
        <w:jc w:val="both"/>
      </w:pPr>
      <w:r>
        <w:rPr>
          <w:rFonts w:cstheme="minorHAnsi"/>
          <w:color w:val="000000"/>
          <w:sz w:val="20"/>
          <w:szCs w:val="20"/>
          <w:lang w:eastAsia="es-ES" w:bidi="es-ES"/>
        </w:rPr>
        <w:t xml:space="preserve">En este sentido, todos los Organismos Deportivos deberán enviar </w:t>
      </w:r>
      <w:r>
        <w:rPr>
          <w:rFonts w:cstheme="minorHAnsi"/>
          <w:b/>
          <w:bCs/>
          <w:color w:val="000000"/>
          <w:sz w:val="20"/>
          <w:szCs w:val="20"/>
          <w:lang w:eastAsia="es-ES" w:bidi="es-ES"/>
        </w:rPr>
        <w:t>hasta el 31 de julio de 2019</w:t>
      </w:r>
      <w:r>
        <w:rPr>
          <w:rFonts w:cstheme="minorHAnsi"/>
          <w:color w:val="000000"/>
          <w:sz w:val="20"/>
          <w:szCs w:val="20"/>
          <w:lang w:eastAsia="es-ES" w:bidi="es-ES"/>
        </w:rPr>
        <w:t>, mediante oficio suscrito por los representantes legales, la documentación solicitada referente a la información del I Semestre para la Evaluación del POA 2019, di</w:t>
      </w:r>
      <w:r>
        <w:rPr>
          <w:rFonts w:cstheme="minorHAnsi"/>
          <w:color w:val="000000"/>
          <w:sz w:val="20"/>
          <w:szCs w:val="20"/>
          <w:lang w:eastAsia="es-ES" w:bidi="es-ES"/>
        </w:rPr>
        <w:t>rigido al Coordinador de Planificación y Gestión Estratégica o al Coordinador/a Zonal correspondiente.</w:t>
      </w:r>
    </w:p>
    <w:p w:rsidR="00AA098E" w:rsidRDefault="00AA098E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</w:p>
    <w:p w:rsidR="00AA098E" w:rsidRDefault="006C2BCF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  <w:r>
        <w:rPr>
          <w:rFonts w:cstheme="minorHAnsi"/>
          <w:color w:val="000000"/>
          <w:sz w:val="20"/>
          <w:szCs w:val="20"/>
          <w:lang w:eastAsia="es-ES" w:bidi="es-ES"/>
        </w:rPr>
        <w:t>A continuación, detallo la información solicitada:</w:t>
      </w:r>
    </w:p>
    <w:p w:rsidR="00AA098E" w:rsidRDefault="00AA098E">
      <w:pPr>
        <w:widowControl w:val="0"/>
        <w:spacing w:after="0" w:line="240" w:lineRule="auto"/>
        <w:ind w:right="144"/>
        <w:jc w:val="both"/>
        <w:rPr>
          <w:rFonts w:cstheme="minorHAnsi"/>
          <w:color w:val="000000"/>
          <w:sz w:val="20"/>
          <w:szCs w:val="20"/>
          <w:lang w:eastAsia="es-ES" w:bidi="es-ES"/>
        </w:rPr>
      </w:pPr>
    </w:p>
    <w:p w:rsidR="00AA098E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color w:val="000000"/>
          <w:spacing w:val="1"/>
          <w:sz w:val="20"/>
          <w:szCs w:val="20"/>
          <w:lang w:eastAsia="es-ES"/>
        </w:rPr>
        <w:t>Matriz de Evaluación Semestral del POA (enero a junio del 2019 en CD).</w:t>
      </w:r>
    </w:p>
    <w:p w:rsidR="00AA098E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Wingdings"/>
          <w:color w:val="000000"/>
          <w:sz w:val="20"/>
          <w:szCs w:val="20"/>
          <w:lang w:eastAsia="es-ES"/>
        </w:rPr>
      </w:pPr>
      <w:r>
        <w:rPr>
          <w:rFonts w:cs="Wingdings"/>
          <w:color w:val="000000"/>
          <w:sz w:val="20"/>
          <w:szCs w:val="20"/>
          <w:lang w:eastAsia="es-ES"/>
        </w:rPr>
        <w:t>Hoja “RESUMEN” incluida en la</w:t>
      </w:r>
      <w:r>
        <w:rPr>
          <w:rFonts w:cs="Wingdings"/>
          <w:color w:val="000000"/>
          <w:sz w:val="20"/>
          <w:szCs w:val="20"/>
          <w:lang w:eastAsia="es-ES"/>
        </w:rPr>
        <w:t xml:space="preserve"> matriz de evaluación; impresa y con firmas de responsabilidad.</w:t>
      </w:r>
    </w:p>
    <w:p w:rsidR="00AA098E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Wingdings"/>
          <w:color w:val="000000"/>
          <w:sz w:val="20"/>
          <w:szCs w:val="20"/>
          <w:lang w:eastAsia="es-ES"/>
        </w:rPr>
      </w:pPr>
      <w:r>
        <w:rPr>
          <w:rFonts w:cs="Wingdings"/>
          <w:color w:val="000000"/>
          <w:sz w:val="20"/>
          <w:szCs w:val="20"/>
          <w:lang w:eastAsia="es-ES"/>
        </w:rPr>
        <w:t>Formulario 101, correspondiente a la Declaración del Impuesto a la Renta del período 2018 (en formato digital CD).</w:t>
      </w:r>
    </w:p>
    <w:p w:rsidR="00AA098E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Wingdings"/>
          <w:color w:val="000000"/>
          <w:sz w:val="20"/>
          <w:szCs w:val="20"/>
          <w:lang w:eastAsia="es-ES"/>
        </w:rPr>
      </w:pPr>
      <w:r>
        <w:rPr>
          <w:rFonts w:cs="Wingdings"/>
          <w:color w:val="000000"/>
          <w:sz w:val="20"/>
          <w:szCs w:val="20"/>
          <w:lang w:eastAsia="es-ES"/>
        </w:rPr>
        <w:t>Estados de Cuenta de enero a junio del 2019 (En formato digital PDF).</w:t>
      </w:r>
    </w:p>
    <w:p w:rsidR="006C2BCF" w:rsidRPr="006C2BCF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0"/>
          <w:szCs w:val="20"/>
          <w:lang w:eastAsia="es-ES"/>
        </w:rPr>
        <w:t xml:space="preserve">Documentación que respalde la Ejecución Presupuestaria como son facturas, liquidaciones de compra y prestación de servicios, mayores contables con las respectivas firmas de responsabilidad en formato digital CD. (Cabe recalcar que la información enviada debe ser escaneada en óptima calidad de resolución a color y a partir de la documentación original, caso contrario no será validada), para las Federaciones Provinciales y </w:t>
      </w:r>
      <w:proofErr w:type="gramStart"/>
      <w:r>
        <w:rPr>
          <w:color w:val="000000"/>
          <w:sz w:val="20"/>
          <w:szCs w:val="20"/>
          <w:lang w:eastAsia="es-ES"/>
        </w:rPr>
        <w:t>Ecuator</w:t>
      </w:r>
      <w:bookmarkStart w:id="0" w:name="_GoBack"/>
      <w:bookmarkEnd w:id="0"/>
      <w:r>
        <w:rPr>
          <w:color w:val="000000"/>
          <w:sz w:val="20"/>
          <w:szCs w:val="20"/>
          <w:lang w:eastAsia="es-ES"/>
        </w:rPr>
        <w:t>ianas</w:t>
      </w:r>
      <w:proofErr w:type="gramEnd"/>
      <w:r>
        <w:rPr>
          <w:color w:val="000000"/>
          <w:sz w:val="20"/>
          <w:szCs w:val="20"/>
          <w:lang w:eastAsia="es-ES"/>
        </w:rPr>
        <w:t xml:space="preserve"> por Deporte, las facturas se solicitarán de acuerdo a un muestreo que será comunicado oportunamente.</w:t>
      </w:r>
    </w:p>
    <w:p w:rsidR="00AA098E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cs="Wingdings"/>
          <w:color w:val="000000"/>
          <w:sz w:val="20"/>
          <w:szCs w:val="20"/>
          <w:lang w:eastAsia="es-ES"/>
        </w:rPr>
        <w:t>Rol de pagos detallado por persona, que labore en la Organización Deportiva bajo relación de dependencia de enero a junio del 2019.</w:t>
      </w:r>
      <w:r>
        <w:rPr>
          <w:rFonts w:cs="Wingdings"/>
          <w:color w:val="000000"/>
          <w:sz w:val="20"/>
          <w:szCs w:val="20"/>
          <w:lang w:eastAsia="es-ES"/>
        </w:rPr>
        <w:t xml:space="preserve"> (En formato digital PDF)</w:t>
      </w:r>
    </w:p>
    <w:p w:rsidR="00AA098E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Wingdings"/>
          <w:color w:val="000000"/>
          <w:sz w:val="20"/>
          <w:szCs w:val="20"/>
          <w:lang w:eastAsia="es-ES"/>
        </w:rPr>
      </w:pPr>
      <w:r>
        <w:rPr>
          <w:rFonts w:cs="Wingdings"/>
          <w:color w:val="000000"/>
          <w:sz w:val="20"/>
          <w:szCs w:val="20"/>
          <w:lang w:eastAsia="es-ES"/>
        </w:rPr>
        <w:t>Planillas de aportes al IESS detalladas con el nombre de los afiliados de enero a junio del 2019, con su respectivo comprobante de pago generado por el IESS. (En formato digital PDF)</w:t>
      </w:r>
    </w:p>
    <w:p w:rsidR="00AA098E" w:rsidRDefault="006C2BCF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cs="Wingdings"/>
          <w:color w:val="000000"/>
          <w:sz w:val="20"/>
          <w:szCs w:val="20"/>
          <w:lang w:eastAsia="es-ES"/>
        </w:rPr>
        <w:t xml:space="preserve">Matiz de Compras y adquisiciones en el formato </w:t>
      </w:r>
      <w:r>
        <w:rPr>
          <w:rFonts w:cs="Wingdings"/>
          <w:color w:val="000000"/>
          <w:sz w:val="20"/>
          <w:szCs w:val="20"/>
          <w:lang w:eastAsia="es-ES"/>
        </w:rPr>
        <w:t>enviado por esta Cartera de Estado, realizadas a través del Portal de Compras públicas, de enero a junio del 2019.</w:t>
      </w:r>
    </w:p>
    <w:p w:rsidR="00AA098E" w:rsidRDefault="00AA098E">
      <w:pPr>
        <w:widowControl w:val="0"/>
        <w:spacing w:after="0" w:line="240" w:lineRule="auto"/>
        <w:jc w:val="both"/>
        <w:rPr>
          <w:rFonts w:cs="Times New Roman"/>
          <w:sz w:val="20"/>
          <w:szCs w:val="20"/>
          <w:lang w:eastAsia="es-EC"/>
        </w:rPr>
      </w:pPr>
    </w:p>
    <w:p w:rsidR="00AA098E" w:rsidRDefault="006C2BCF">
      <w:pPr>
        <w:widowControl w:val="0"/>
        <w:spacing w:after="0" w:line="240" w:lineRule="auto"/>
        <w:jc w:val="both"/>
      </w:pPr>
      <w:r>
        <w:rPr>
          <w:rFonts w:cs="Times New Roman"/>
          <w:b/>
          <w:i/>
          <w:sz w:val="20"/>
          <w:szCs w:val="20"/>
          <w:lang w:eastAsia="es-EC"/>
        </w:rPr>
        <w:t>NOTA:</w:t>
      </w:r>
      <w:r>
        <w:rPr>
          <w:rFonts w:cs="Times New Roman"/>
          <w:sz w:val="20"/>
          <w:szCs w:val="20"/>
          <w:lang w:eastAsia="es-EC"/>
        </w:rPr>
        <w:t xml:space="preserve"> La Organización Deportiva, deberá incluir en un párrafo del oficio de envío de la evaluación, que </w:t>
      </w:r>
      <w:r>
        <w:rPr>
          <w:rFonts w:cs="Times New Roman"/>
          <w:b/>
          <w:bCs/>
          <w:sz w:val="20"/>
          <w:szCs w:val="20"/>
          <w:lang w:eastAsia="es-EC"/>
        </w:rPr>
        <w:t>CERTIFICA</w:t>
      </w:r>
      <w:r>
        <w:rPr>
          <w:rFonts w:cs="Times New Roman"/>
          <w:sz w:val="20"/>
          <w:szCs w:val="20"/>
          <w:lang w:eastAsia="es-EC"/>
        </w:rPr>
        <w:t xml:space="preserve"> que es responsable de la i</w:t>
      </w:r>
      <w:r>
        <w:rPr>
          <w:rFonts w:cs="Times New Roman"/>
          <w:sz w:val="20"/>
          <w:szCs w:val="20"/>
          <w:lang w:eastAsia="es-EC"/>
        </w:rPr>
        <w:t>nformación remitida en cuanto a la veracidad y confiabilidad de los documentos de respaldo del gasto, los cuales podrán ser verificados por esta Secretaría de Estado.</w:t>
      </w:r>
    </w:p>
    <w:p w:rsidR="00AA098E" w:rsidRDefault="00AA098E">
      <w:pPr>
        <w:widowControl w:val="0"/>
        <w:spacing w:before="16"/>
        <w:ind w:right="80"/>
        <w:jc w:val="both"/>
        <w:rPr>
          <w:b/>
          <w:color w:val="000000"/>
          <w:sz w:val="20"/>
          <w:szCs w:val="20"/>
          <w:lang w:eastAsia="es-ES"/>
        </w:rPr>
      </w:pPr>
    </w:p>
    <w:p w:rsidR="00AA098E" w:rsidRDefault="006C2BCF">
      <w:pPr>
        <w:widowControl w:val="0"/>
        <w:spacing w:before="16"/>
        <w:ind w:right="80"/>
        <w:jc w:val="both"/>
      </w:pPr>
      <w:r>
        <w:rPr>
          <w:color w:val="000000"/>
          <w:sz w:val="20"/>
          <w:szCs w:val="20"/>
          <w:lang w:eastAsia="es-ES"/>
        </w:rPr>
        <w:t>Recuerde sólo i</w:t>
      </w:r>
      <w:r>
        <w:rPr>
          <w:color w:val="000000"/>
          <w:sz w:val="20"/>
          <w:szCs w:val="20"/>
          <w:lang w:eastAsia="es-ES"/>
        </w:rPr>
        <w:t xml:space="preserve">mprimir la información necesaria. En nosotros está el cuidar el medio </w:t>
      </w:r>
      <w:r>
        <w:rPr>
          <w:color w:val="000000"/>
          <w:sz w:val="20"/>
          <w:szCs w:val="20"/>
          <w:lang w:eastAsia="es-ES"/>
        </w:rPr>
        <w:t>ambiente, reduciendo el consumo de hojas de papel.</w:t>
      </w:r>
    </w:p>
    <w:p w:rsidR="00AA098E" w:rsidRDefault="00AA098E">
      <w:pPr>
        <w:widowControl w:val="0"/>
        <w:spacing w:after="0" w:line="240" w:lineRule="auto"/>
        <w:ind w:right="144"/>
        <w:contextualSpacing/>
        <w:jc w:val="both"/>
        <w:rPr>
          <w:rFonts w:cstheme="minorHAnsi"/>
          <w:color w:val="000000"/>
          <w:sz w:val="20"/>
          <w:szCs w:val="20"/>
          <w:lang w:eastAsia="es-ES" w:bidi="es-ES"/>
        </w:rPr>
      </w:pPr>
    </w:p>
    <w:p w:rsidR="00AA098E" w:rsidRDefault="006C2BCF">
      <w:pPr>
        <w:pStyle w:val="Cuerpodeltexto0"/>
        <w:shd w:val="clear" w:color="auto" w:fill="auto"/>
        <w:spacing w:before="0" w:after="254" w:line="180" w:lineRule="exact"/>
        <w:ind w:firstLine="0"/>
      </w:pPr>
      <w:r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  <w:t>Particular que se comunica para los fines pertinentes.</w:t>
      </w:r>
    </w:p>
    <w:p w:rsidR="00AA098E" w:rsidRDefault="00AA098E">
      <w:pPr>
        <w:pStyle w:val="Cuerpodeltexto0"/>
        <w:shd w:val="clear" w:color="auto" w:fill="auto"/>
        <w:spacing w:before="0" w:after="254" w:line="180" w:lineRule="exact"/>
        <w:ind w:firstLine="0"/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</w:pPr>
    </w:p>
    <w:p w:rsidR="00AA098E" w:rsidRDefault="00AA098E">
      <w:pPr>
        <w:pStyle w:val="Cuerpodeltexto0"/>
        <w:shd w:val="clear" w:color="auto" w:fill="auto"/>
        <w:spacing w:before="0" w:after="254" w:line="180" w:lineRule="exact"/>
        <w:ind w:firstLine="0"/>
        <w:rPr>
          <w:rFonts w:asciiTheme="minorHAnsi" w:hAnsiTheme="minorHAnsi" w:cstheme="minorHAnsi"/>
          <w:color w:val="000000"/>
          <w:sz w:val="20"/>
          <w:szCs w:val="20"/>
          <w:lang w:eastAsia="es-ES" w:bidi="es-ES"/>
        </w:rPr>
      </w:pPr>
    </w:p>
    <w:p w:rsidR="00AA098E" w:rsidRDefault="006C2BCF">
      <w:pPr>
        <w:pStyle w:val="Cuerpodeltexto0"/>
        <w:shd w:val="clear" w:color="auto" w:fill="auto"/>
        <w:spacing w:before="0" w:after="254" w:line="180" w:lineRule="exact"/>
        <w:ind w:firstLine="0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 w:bidi="es-ES"/>
        </w:rPr>
        <w:t>Dirección de Seguimiento de Planes Programas y Proyectos.</w:t>
      </w:r>
    </w:p>
    <w:p w:rsidR="00AA098E" w:rsidRDefault="006C2BCF">
      <w:pPr>
        <w:pStyle w:val="Cuerpodeltexto0"/>
        <w:shd w:val="clear" w:color="auto" w:fill="auto"/>
        <w:spacing w:before="0" w:after="254" w:line="180" w:lineRule="exact"/>
        <w:ind w:firstLine="0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 w:bidi="es-ES"/>
        </w:rPr>
        <w:t>Secretaría del Deporte.</w:t>
      </w:r>
    </w:p>
    <w:sectPr w:rsidR="00AA098E">
      <w:pgSz w:w="11906" w:h="16838"/>
      <w:pgMar w:top="709" w:right="1274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132"/>
    <w:multiLevelType w:val="multilevel"/>
    <w:tmpl w:val="199A7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7D7D35"/>
    <w:multiLevelType w:val="multilevel"/>
    <w:tmpl w:val="5D8AFBD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8"/>
        <w:u w:val="none"/>
        <w:lang w:val="es-ES" w:eastAsia="es-ES" w:bidi="es-ES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05684B"/>
    <w:multiLevelType w:val="multilevel"/>
    <w:tmpl w:val="C70008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E"/>
    <w:rsid w:val="006C2BCF"/>
    <w:rsid w:val="00A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DDBF"/>
  <w15:docId w15:val="{1ADB4258-A846-4562-8A54-B407699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E534B"/>
    <w:rPr>
      <w:rFonts w:ascii="Tahoma" w:hAnsi="Tahoma" w:cs="Tahoma"/>
      <w:sz w:val="16"/>
      <w:szCs w:val="16"/>
    </w:rPr>
  </w:style>
  <w:style w:type="character" w:customStyle="1" w:styleId="Cuerpodeltexto">
    <w:name w:val="Cuerpo del texto_"/>
    <w:basedOn w:val="Fuentedeprrafopredeter"/>
    <w:link w:val="Cuerpodeltexto0"/>
    <w:qFormat/>
    <w:rsid w:val="00871A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uerpodeltextoCursiva">
    <w:name w:val="Cuerpo del texto + Cursiva"/>
    <w:basedOn w:val="Cuerpodeltexto"/>
    <w:qFormat/>
    <w:rsid w:val="00871A9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8"/>
      <w:szCs w:val="18"/>
      <w:shd w:val="clear" w:color="auto" w:fill="FFFFFF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qFormat/>
    <w:rsid w:val="00871A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653B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653B4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s-ES" w:eastAsia="es-ES" w:bidi="es-ES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18"/>
      <w:u w:val="none"/>
      <w:lang w:val="es-ES" w:eastAsia="es-ES" w:bidi="es-E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s-ES" w:eastAsia="es-ES" w:bidi="es-E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E53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uerpodeltexto0">
    <w:name w:val="Cuerpo del texto"/>
    <w:basedOn w:val="Normal"/>
    <w:link w:val="Cuerpodeltexto"/>
    <w:qFormat/>
    <w:rsid w:val="00871A96"/>
    <w:pPr>
      <w:widowControl w:val="0"/>
      <w:shd w:val="clear" w:color="auto" w:fill="FFFFFF"/>
      <w:spacing w:before="420" w:after="540"/>
      <w:ind w:hanging="3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uerpodeltexto30">
    <w:name w:val="Cuerpo del texto (3)"/>
    <w:basedOn w:val="Normal"/>
    <w:link w:val="Cuerpodeltexto3"/>
    <w:qFormat/>
    <w:rsid w:val="00871A96"/>
    <w:pPr>
      <w:widowControl w:val="0"/>
      <w:shd w:val="clear" w:color="auto" w:fill="FFFFFF"/>
      <w:spacing w:before="540" w:after="420" w:line="230" w:lineRule="exact"/>
      <w:ind w:hanging="38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53B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653B4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D55B7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Recalde</dc:creator>
  <dc:description/>
  <cp:lastModifiedBy>Anita Maribel Rivera Gómez</cp:lastModifiedBy>
  <cp:revision>2</cp:revision>
  <cp:lastPrinted>2018-07-11T19:30:00Z</cp:lastPrinted>
  <dcterms:created xsi:type="dcterms:W3CDTF">2019-07-08T16:54:00Z</dcterms:created>
  <dcterms:modified xsi:type="dcterms:W3CDTF">2019-07-08T16:54:00Z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